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769" w:rsidRDefault="00301769" w:rsidP="00301769">
      <w:pPr>
        <w:spacing w:line="480" w:lineRule="auto"/>
        <w:rPr>
          <w:rFonts w:eastAsiaTheme="majorEastAsia" w:cstheme="majorBidi"/>
          <w:bCs/>
          <w:szCs w:val="28"/>
        </w:rPr>
      </w:pPr>
    </w:p>
    <w:p w:rsidR="00301769" w:rsidRDefault="00301769" w:rsidP="00301769">
      <w:pPr>
        <w:spacing w:line="480" w:lineRule="auto"/>
        <w:rPr>
          <w:rFonts w:eastAsiaTheme="majorEastAsia" w:cstheme="majorBidi"/>
          <w:bCs/>
          <w:szCs w:val="28"/>
        </w:rPr>
      </w:pPr>
    </w:p>
    <w:p w:rsidR="00301769" w:rsidRDefault="00301769" w:rsidP="00301769">
      <w:pPr>
        <w:spacing w:line="480" w:lineRule="auto"/>
        <w:rPr>
          <w:rFonts w:eastAsiaTheme="majorEastAsia" w:cstheme="majorBidi"/>
          <w:bCs/>
          <w:szCs w:val="28"/>
        </w:rPr>
      </w:pPr>
    </w:p>
    <w:p w:rsidR="00301769" w:rsidRDefault="00301769" w:rsidP="00301769">
      <w:pPr>
        <w:spacing w:line="480" w:lineRule="auto"/>
        <w:rPr>
          <w:rFonts w:eastAsiaTheme="majorEastAsia" w:cstheme="majorBidi"/>
          <w:bCs/>
          <w:szCs w:val="28"/>
        </w:rPr>
      </w:pPr>
    </w:p>
    <w:p w:rsidR="00301769" w:rsidRDefault="00301769" w:rsidP="00301769">
      <w:pPr>
        <w:spacing w:line="480" w:lineRule="auto"/>
        <w:rPr>
          <w:rFonts w:eastAsiaTheme="majorEastAsia" w:cstheme="majorBidi"/>
          <w:bCs/>
          <w:szCs w:val="28"/>
        </w:rPr>
      </w:pPr>
    </w:p>
    <w:p w:rsidR="00301769" w:rsidRDefault="00301769" w:rsidP="00301769">
      <w:pPr>
        <w:spacing w:line="480" w:lineRule="auto"/>
        <w:jc w:val="center"/>
      </w:pPr>
      <w:r>
        <w:t>Health Inspection Process</w:t>
      </w:r>
    </w:p>
    <w:p w:rsidR="00301769" w:rsidRDefault="00301769" w:rsidP="00301769">
      <w:pPr>
        <w:spacing w:line="480" w:lineRule="auto"/>
        <w:jc w:val="center"/>
      </w:pPr>
      <w:r>
        <w:t>Name of Student</w:t>
      </w:r>
    </w:p>
    <w:p w:rsidR="00301769" w:rsidRDefault="00301769" w:rsidP="00301769">
      <w:pPr>
        <w:spacing w:line="480" w:lineRule="auto"/>
        <w:jc w:val="center"/>
      </w:pPr>
      <w:r>
        <w:t>Name of Institution</w:t>
      </w:r>
    </w:p>
    <w:p w:rsidR="00301769" w:rsidRDefault="00301769" w:rsidP="00301769">
      <w:pPr>
        <w:spacing w:line="480" w:lineRule="auto"/>
        <w:jc w:val="center"/>
        <w:rPr>
          <w:rFonts w:eastAsiaTheme="majorEastAsia" w:cstheme="majorBidi"/>
          <w:bCs/>
          <w:szCs w:val="28"/>
        </w:rPr>
      </w:pPr>
      <w:r>
        <w:t>Date</w:t>
      </w:r>
      <w:r>
        <w:rPr>
          <w:rFonts w:eastAsiaTheme="majorEastAsia" w:cstheme="majorBidi"/>
          <w:bCs/>
          <w:szCs w:val="28"/>
        </w:rPr>
        <w:t xml:space="preserve"> </w:t>
      </w:r>
      <w:r>
        <w:rPr>
          <w:rFonts w:eastAsiaTheme="majorEastAsia" w:cstheme="majorBidi"/>
          <w:bCs/>
          <w:szCs w:val="28"/>
        </w:rPr>
        <w:br w:type="page"/>
      </w:r>
    </w:p>
    <w:p w:rsidR="00301769" w:rsidRPr="00301769" w:rsidRDefault="00301769" w:rsidP="00301769">
      <w:pPr>
        <w:spacing w:line="480" w:lineRule="auto"/>
        <w:jc w:val="center"/>
        <w:rPr>
          <w:rFonts w:eastAsiaTheme="majorEastAsia" w:cstheme="majorBidi"/>
          <w:b/>
          <w:bCs/>
          <w:szCs w:val="28"/>
        </w:rPr>
      </w:pPr>
      <w:r w:rsidRPr="00301769">
        <w:rPr>
          <w:rFonts w:eastAsiaTheme="majorEastAsia" w:cstheme="majorBidi"/>
          <w:b/>
          <w:bCs/>
          <w:szCs w:val="28"/>
        </w:rPr>
        <w:lastRenderedPageBreak/>
        <w:t>Abstract</w:t>
      </w:r>
    </w:p>
    <w:p w:rsid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t xml:space="preserve">The objecting of a nursing survey is the observation of the quality of nursing facilities. A surveyor on the case observes and investigates resident's quality of life, dining services, food preparation, medication errors, patient care, safety protocols that protect residents from neglect and abuse, the facility environment, and an evaluation of the facility's quality improvement program (Singh, 2016, p. 110). The investigation is significant since it ensures no harm to residents, and that the facilities comply with the cited standards. The health inspection process comprises seven steps, with each requiring examination of various elements as stipulated in the regulations. Completion of the process prompts the surveyor to send the facility a statement of deficiency, which highlights severity and scope on non-compliance. The facility has ten days to respond with a plan of correction. </w:t>
      </w:r>
    </w:p>
    <w:p w:rsidR="00301769" w:rsidRDefault="00301769" w:rsidP="00301769">
      <w:pPr>
        <w:spacing w:line="480" w:lineRule="auto"/>
        <w:rPr>
          <w:rFonts w:eastAsiaTheme="majorEastAsia" w:cstheme="majorBidi"/>
          <w:bCs/>
          <w:szCs w:val="28"/>
        </w:rPr>
      </w:pPr>
      <w:r>
        <w:rPr>
          <w:rFonts w:eastAsiaTheme="majorEastAsia" w:cstheme="majorBidi"/>
          <w:bCs/>
          <w:szCs w:val="28"/>
        </w:rPr>
        <w:br w:type="page"/>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lastRenderedPageBreak/>
        <w:t xml:space="preserve">Every nursing facility is subject to the survey process twice annually. The process is to enforce the standards set for substantial compliance, but not zero tolerance. The latter demands perfection, which introduces highly unrealistic expectations. The former, however, describes a level of compliance with requirements of participation such that any identified deficiencies pose no higher risk to patient health and safety than the potential for causing minimal harm (Singh, 2016, p. 106). The health inspection process follows through seven critical tasks, with each of them abiding by the regulations for procedures and protocol. Below is a summation of each. </w:t>
      </w:r>
    </w:p>
    <w:p w:rsidR="00301769" w:rsidRPr="00301769" w:rsidRDefault="00301769" w:rsidP="00301769">
      <w:pPr>
        <w:spacing w:line="480" w:lineRule="auto"/>
        <w:jc w:val="center"/>
        <w:rPr>
          <w:rFonts w:eastAsiaTheme="majorEastAsia" w:cstheme="majorBidi"/>
          <w:b/>
          <w:bCs/>
          <w:szCs w:val="28"/>
        </w:rPr>
      </w:pPr>
      <w:r w:rsidRPr="00301769">
        <w:rPr>
          <w:rFonts w:eastAsiaTheme="majorEastAsia" w:cstheme="majorBidi"/>
          <w:b/>
          <w:bCs/>
          <w:szCs w:val="28"/>
        </w:rPr>
        <w:t>Task 1: Offsite Preparation</w:t>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t xml:space="preserve">The task takes place before the physical visit to the nursing facility. In this stage, surveyors go through the records of the facility to ascertain target areas of concern and its compliance history. The areas of interest warrant significant focus, and the surveyors must also assess if they are still present. The law stipulates that each facility should comply with the law by electronically submitting its minimum data set (MDS) to the state under the licensing of the facility. The state then uses the MDS information to three principal facility-specific reports, which are; Facility Characteristic Report, Facility Quality Measure/Indicator QM/QI report, and the resident level QM/QI report. </w:t>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t xml:space="preserve">Facility Characteristic Report contains data that highlight the demographic details of patients within the facilities. Data within includes discharge potential, the stability of conditions, type of assessment, diagnostic characteristics, payment source, age, and gender. Facilities QM/QI is a ranking system for the facilities which account for the quality standards in post-acute care and chronic care. The ratings provided in the report also allows for ranking against other facilities. The Resident Level QM/QI holds information about the conditions of residents in each </w:t>
      </w:r>
      <w:r w:rsidRPr="00301769">
        <w:rPr>
          <w:rFonts w:eastAsiaTheme="majorEastAsia" w:cstheme="majorBidi"/>
          <w:bCs/>
          <w:szCs w:val="28"/>
        </w:rPr>
        <w:lastRenderedPageBreak/>
        <w:t>facility, such as behavioral problems, pressure ulcers, and their risk standard for developing states (Singh, 2016, p. 108-109).</w:t>
      </w:r>
    </w:p>
    <w:p w:rsidR="00301769" w:rsidRPr="00301769" w:rsidRDefault="00301769" w:rsidP="00301769">
      <w:pPr>
        <w:spacing w:line="480" w:lineRule="auto"/>
        <w:jc w:val="center"/>
        <w:rPr>
          <w:rFonts w:eastAsiaTheme="majorEastAsia" w:cstheme="majorBidi"/>
          <w:b/>
          <w:bCs/>
          <w:szCs w:val="28"/>
        </w:rPr>
      </w:pPr>
      <w:r w:rsidRPr="00301769">
        <w:rPr>
          <w:rFonts w:eastAsiaTheme="majorEastAsia" w:cstheme="majorBidi"/>
          <w:b/>
          <w:bCs/>
          <w:szCs w:val="28"/>
        </w:rPr>
        <w:t>Task 2: Entrance Conference</w:t>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t xml:space="preserve">The conference is an on-site meeting between the facilities administrator and the survey team. The latter group gives instructions and also enumerate on the reason for their visit. The facility will then hand in their record for the work schedules that apply to registered and licensed staff, how to get hold of crucial personnel, individual care units in the facility, copies of admission contracts for all patients, and a copy of the written information which the facility avails to the patients to inform the latter of their rights. The task also includes a notice to the general public, employees, and residents that indicates inspection is in process. </w:t>
      </w:r>
    </w:p>
    <w:p w:rsidR="00301769" w:rsidRPr="00301769" w:rsidRDefault="00301769" w:rsidP="00301769">
      <w:pPr>
        <w:spacing w:line="480" w:lineRule="auto"/>
        <w:jc w:val="center"/>
        <w:rPr>
          <w:rFonts w:eastAsiaTheme="majorEastAsia" w:cstheme="majorBidi"/>
          <w:b/>
          <w:bCs/>
          <w:szCs w:val="28"/>
        </w:rPr>
      </w:pPr>
      <w:r w:rsidRPr="00301769">
        <w:rPr>
          <w:rFonts w:eastAsiaTheme="majorEastAsia" w:cstheme="majorBidi"/>
          <w:b/>
          <w:bCs/>
          <w:szCs w:val="28"/>
        </w:rPr>
        <w:t>Task 3: Initial Tour</w:t>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t xml:space="preserve">The team of surveyors could opt to either go alone or have the facility staff accompany them in their initial tour. Preference is for the latter to answer questions posed, and also give directives to family or residents. The surveyors could converse with visitors, employees, or residents in the facility, and are also allowed visitation tr key department and patient rooms. During their visit, the surveyors will make general observations that they may use to compare to the information they compiled during the offsite preparation stage. The principal focus of the surveyor is observing environmental and safety issues, behavioral and emotional conduct of patients, reactions and intervention by staff, quality of care, and the quality of life. </w:t>
      </w:r>
    </w:p>
    <w:p w:rsidR="00301769" w:rsidRPr="00301769" w:rsidRDefault="00301769" w:rsidP="00301769">
      <w:pPr>
        <w:spacing w:line="480" w:lineRule="auto"/>
        <w:jc w:val="center"/>
        <w:rPr>
          <w:rFonts w:eastAsiaTheme="majorEastAsia" w:cstheme="majorBidi"/>
          <w:b/>
          <w:bCs/>
          <w:szCs w:val="28"/>
        </w:rPr>
      </w:pPr>
      <w:r w:rsidRPr="00301769">
        <w:rPr>
          <w:rFonts w:eastAsiaTheme="majorEastAsia" w:cstheme="majorBidi"/>
          <w:b/>
          <w:bCs/>
          <w:szCs w:val="28"/>
        </w:rPr>
        <w:t>Task 4: Resident Sample Selection</w:t>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t xml:space="preserve">In this stage, the surveyors gather a stratified sampling mix of the information collected in the offsite preparation and actual tour. The strategy implemented takes account of patient records for those who require light care, heavy care, and those whose memory is sufficient and </w:t>
      </w:r>
      <w:r w:rsidRPr="00301769">
        <w:rPr>
          <w:rFonts w:eastAsiaTheme="majorEastAsia" w:cstheme="majorBidi"/>
          <w:bCs/>
          <w:szCs w:val="28"/>
        </w:rPr>
        <w:lastRenderedPageBreak/>
        <w:t xml:space="preserve">comprehensive to qualify as an interviewee. Additional patients include those with hearing or speech disorders, pressure ulcers, with sustained weight loss, even those perceived as vulnerable, and with other additional risk factors. </w:t>
      </w:r>
    </w:p>
    <w:p w:rsidR="00301769" w:rsidRPr="00301769" w:rsidRDefault="00301769" w:rsidP="00301769">
      <w:pPr>
        <w:spacing w:line="480" w:lineRule="auto"/>
        <w:jc w:val="center"/>
        <w:rPr>
          <w:rFonts w:eastAsiaTheme="majorEastAsia" w:cstheme="majorBidi"/>
          <w:b/>
          <w:bCs/>
          <w:szCs w:val="28"/>
        </w:rPr>
      </w:pPr>
      <w:r w:rsidRPr="00301769">
        <w:rPr>
          <w:rFonts w:eastAsiaTheme="majorEastAsia" w:cstheme="majorBidi"/>
          <w:b/>
          <w:bCs/>
          <w:szCs w:val="28"/>
        </w:rPr>
        <w:t>Task 5: Information Gathering</w:t>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t xml:space="preserve">This stage includes a surveyor gathering information from the facility to ascertain its quality. The surveyor directly observes the resident's quality of life, dining services, food preparation, medical errors, patient care, and safety, and the environment of the facility. Additional observations account for protocols that ensure the protection of residents from abuse and neglect, a review of the records, and interviews with visitors, staff, and residents. </w:t>
      </w:r>
    </w:p>
    <w:p w:rsidR="00301769" w:rsidRPr="00301769" w:rsidRDefault="00301769" w:rsidP="00301769">
      <w:pPr>
        <w:spacing w:line="480" w:lineRule="auto"/>
        <w:jc w:val="center"/>
        <w:rPr>
          <w:rFonts w:eastAsiaTheme="majorEastAsia" w:cstheme="majorBidi"/>
          <w:b/>
          <w:bCs/>
          <w:szCs w:val="28"/>
        </w:rPr>
      </w:pPr>
      <w:r w:rsidRPr="00301769">
        <w:rPr>
          <w:rFonts w:eastAsiaTheme="majorEastAsia" w:cstheme="majorBidi"/>
          <w:b/>
          <w:bCs/>
          <w:szCs w:val="28"/>
        </w:rPr>
        <w:t>Task 6: Determination of Compliance</w:t>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t>The surveyor examines the documents to cite evidence of deficiency, which is a situation whereby the facility does not meet all the standards. The evaluation of deficiencies is in the form of severity, which accounts for the adverse health outcomes or actual or potential for harm. The scope of the deficiency considers the number of patients who are actually or potentially affected. The records for severity and scope assign deficiencies under categories that specify their seriousness. There are four severity levels; 1) Potential to cause nothing other than minor negative impact on residents. 2) Results bring nothing more than minimal psychosocial, mental, or physical discomfort to the resident. 3) Results in a negative outcome that has compromised the residents' ability o maintain or reach his/her highest well-being. 4) Immediate jeopardy, which means non-compliance with a standard, has caused or is likely to cause serious injury, harm, impairment, or death (Singh, 2016, p. 110-111).</w:t>
      </w:r>
    </w:p>
    <w:p w:rsidR="00301769" w:rsidRPr="00301769" w:rsidRDefault="00301769" w:rsidP="00301769">
      <w:pPr>
        <w:spacing w:line="480" w:lineRule="auto"/>
        <w:jc w:val="center"/>
        <w:rPr>
          <w:rFonts w:eastAsiaTheme="majorEastAsia" w:cstheme="majorBidi"/>
          <w:b/>
          <w:bCs/>
          <w:szCs w:val="28"/>
        </w:rPr>
      </w:pPr>
      <w:r w:rsidRPr="00301769">
        <w:rPr>
          <w:rFonts w:eastAsiaTheme="majorEastAsia" w:cstheme="majorBidi"/>
          <w:b/>
          <w:bCs/>
          <w:szCs w:val="28"/>
        </w:rPr>
        <w:t>Task 7: Exit Conference</w:t>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lastRenderedPageBreak/>
        <w:t xml:space="preserve">After the completion of the inspection, surveyors schedule a sit-in meeting with the facility's officials and present their findings. The administrator could request for copies of the patient sampling, ask for further clarifications, and also provide additional information which the surveyors might have overlooked. The task allows the facility to understand if it is necessary to make any improvements. </w:t>
      </w:r>
    </w:p>
    <w:p w:rsidR="00301769" w:rsidRPr="00301769" w:rsidRDefault="00301769" w:rsidP="00301769">
      <w:pPr>
        <w:spacing w:line="480" w:lineRule="auto"/>
        <w:jc w:val="center"/>
        <w:rPr>
          <w:rFonts w:eastAsiaTheme="majorEastAsia" w:cstheme="majorBidi"/>
          <w:b/>
          <w:bCs/>
          <w:szCs w:val="28"/>
        </w:rPr>
      </w:pPr>
      <w:r w:rsidRPr="00301769">
        <w:rPr>
          <w:rFonts w:eastAsiaTheme="majorEastAsia" w:cstheme="majorBidi"/>
          <w:b/>
          <w:bCs/>
          <w:szCs w:val="28"/>
        </w:rPr>
        <w:t>Plan of Correction</w:t>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t>The facility receives a Statement of Deficiency a few days after the exit conference, which also becomes a public record. The facility then comes up with a written Plan of Correction to implement corrective measures to align with the standards cited. The facility has to submit the plan within ten days after receiving the Statement of Deficiency. The POC has details on how they will correct the deficiency, further actions that will protect residents, measures to put in place to mitigate the occurrence of the same, plans for the facility to monitor performance, and projections of date for completion of corrective actions (Singh, 2016, p. 112-115).</w:t>
      </w:r>
    </w:p>
    <w:p w:rsidR="00301769" w:rsidRPr="00301769" w:rsidRDefault="00301769" w:rsidP="00301769">
      <w:pPr>
        <w:spacing w:line="480" w:lineRule="auto"/>
        <w:jc w:val="center"/>
        <w:rPr>
          <w:rFonts w:eastAsiaTheme="majorEastAsia" w:cstheme="majorBidi"/>
          <w:b/>
          <w:bCs/>
          <w:szCs w:val="28"/>
        </w:rPr>
      </w:pPr>
      <w:r w:rsidRPr="00301769">
        <w:rPr>
          <w:rFonts w:eastAsiaTheme="majorEastAsia" w:cstheme="majorBidi"/>
          <w:b/>
          <w:bCs/>
          <w:szCs w:val="28"/>
        </w:rPr>
        <w:t>Conclusion</w:t>
      </w:r>
    </w:p>
    <w:p w:rsidR="00301769" w:rsidRPr="00301769" w:rsidRDefault="00301769" w:rsidP="00301769">
      <w:pPr>
        <w:spacing w:line="480" w:lineRule="auto"/>
        <w:ind w:firstLine="720"/>
        <w:rPr>
          <w:rFonts w:eastAsiaTheme="majorEastAsia" w:cstheme="majorBidi"/>
          <w:bCs/>
          <w:szCs w:val="28"/>
        </w:rPr>
      </w:pPr>
      <w:r w:rsidRPr="00301769">
        <w:rPr>
          <w:rFonts w:eastAsiaTheme="majorEastAsia" w:cstheme="majorBidi"/>
          <w:bCs/>
          <w:szCs w:val="28"/>
        </w:rPr>
        <w:t xml:space="preserve">The survey process applicable to nursing facilities is to enforce standards stipulated under substantial compliance. The process has seven steps, with of them including a surveyor and sub-tasks that they carry out. The objective of the steps is to ascertain any deficiencies in the facilities that need correcting. After completion of the survey process, the facility receives a Statement of Deficiency. They must then turn it into a Plan of Correction and submit it within ten days. </w:t>
      </w:r>
    </w:p>
    <w:p w:rsidR="00301769" w:rsidRDefault="00301769" w:rsidP="00301769">
      <w:pPr>
        <w:spacing w:line="480" w:lineRule="auto"/>
        <w:rPr>
          <w:rFonts w:eastAsiaTheme="majorEastAsia" w:cstheme="majorBidi"/>
          <w:bCs/>
          <w:szCs w:val="28"/>
        </w:rPr>
      </w:pPr>
      <w:r>
        <w:rPr>
          <w:rFonts w:eastAsiaTheme="majorEastAsia" w:cstheme="majorBidi"/>
          <w:bCs/>
          <w:szCs w:val="28"/>
        </w:rPr>
        <w:br w:type="page"/>
      </w:r>
    </w:p>
    <w:p w:rsidR="00301769" w:rsidRPr="00301769" w:rsidRDefault="00301769" w:rsidP="00301769">
      <w:pPr>
        <w:spacing w:line="480" w:lineRule="auto"/>
        <w:jc w:val="center"/>
        <w:rPr>
          <w:rFonts w:eastAsiaTheme="majorEastAsia" w:cstheme="majorBidi"/>
          <w:bCs/>
          <w:szCs w:val="28"/>
        </w:rPr>
      </w:pPr>
      <w:r w:rsidRPr="00301769">
        <w:rPr>
          <w:rFonts w:eastAsiaTheme="majorEastAsia" w:cstheme="majorBidi"/>
          <w:bCs/>
          <w:szCs w:val="28"/>
        </w:rPr>
        <w:lastRenderedPageBreak/>
        <w:t>References</w:t>
      </w:r>
    </w:p>
    <w:p w:rsidR="00EB1542" w:rsidRPr="00301769" w:rsidRDefault="00301769" w:rsidP="00301769">
      <w:pPr>
        <w:spacing w:line="480" w:lineRule="auto"/>
        <w:ind w:left="720" w:hanging="720"/>
      </w:pPr>
      <w:r w:rsidRPr="00301769">
        <w:rPr>
          <w:rFonts w:eastAsiaTheme="majorEastAsia" w:cstheme="majorBidi"/>
          <w:bCs/>
          <w:szCs w:val="28"/>
        </w:rPr>
        <w:t>Singh, D.A. (2016). Effective Management of Long-Term Care Facilities. (3rd ed.). Burlington, MA: Jones &amp; Bartlett Learning, 5, 108-115.</w:t>
      </w:r>
    </w:p>
    <w:sectPr w:rsidR="00EB1542" w:rsidRPr="00301769" w:rsidSect="00055B53">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178E" w:rsidRDefault="00A2178E" w:rsidP="00055B53">
      <w:r>
        <w:separator/>
      </w:r>
    </w:p>
  </w:endnote>
  <w:endnote w:type="continuationSeparator" w:id="1">
    <w:p w:rsidR="00A2178E" w:rsidRDefault="00A2178E" w:rsidP="00055B5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178E" w:rsidRDefault="00A2178E" w:rsidP="00055B53">
      <w:r>
        <w:separator/>
      </w:r>
    </w:p>
  </w:footnote>
  <w:footnote w:type="continuationSeparator" w:id="1">
    <w:p w:rsidR="00A2178E" w:rsidRDefault="00A2178E" w:rsidP="00055B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PageNumber"/>
      </w:rPr>
      <w:id w:val="-1489165610"/>
      <w:docPartObj>
        <w:docPartGallery w:val="Page Numbers (Top of Page)"/>
        <w:docPartUnique/>
      </w:docPartObj>
    </w:sdtPr>
    <w:sdtContent>
      <w:p w:rsidR="00F804A7" w:rsidRDefault="00AE2CC8" w:rsidP="003F0DCC">
        <w:pPr>
          <w:pStyle w:val="Header"/>
          <w:framePr w:wrap="none" w:vAnchor="text" w:hAnchor="margin" w:xAlign="right" w:y="1"/>
          <w:rPr>
            <w:rStyle w:val="PageNumber"/>
          </w:rPr>
        </w:pPr>
        <w:r>
          <w:rPr>
            <w:rStyle w:val="PageNumber"/>
          </w:rPr>
          <w:fldChar w:fldCharType="begin"/>
        </w:r>
        <w:r w:rsidR="00F804A7">
          <w:rPr>
            <w:rStyle w:val="PageNumber"/>
          </w:rPr>
          <w:instrText xml:space="preserve"> PAGE </w:instrText>
        </w:r>
        <w:r>
          <w:rPr>
            <w:rStyle w:val="PageNumber"/>
          </w:rPr>
          <w:fldChar w:fldCharType="end"/>
        </w:r>
      </w:p>
    </w:sdtContent>
  </w:sdt>
  <w:p w:rsidR="00055B53" w:rsidRDefault="00055B53" w:rsidP="00F804A7">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69" w:rsidRPr="00301769" w:rsidRDefault="00301769">
    <w:pPr>
      <w:pStyle w:val="Header"/>
      <w:jc w:val="right"/>
      <w:rPr>
        <w:rFonts w:ascii="Times New Roman" w:hAnsi="Times New Roman" w:cs="Times New Roman"/>
      </w:rPr>
    </w:pPr>
    <w:r w:rsidRPr="00301769">
      <w:rPr>
        <w:rFonts w:ascii="Times New Roman" w:hAnsi="Times New Roman" w:cs="Times New Roman"/>
      </w:rPr>
      <w:t xml:space="preserve">HEALTH INSPECTION PROCESS </w:t>
    </w:r>
    <w:r w:rsidRPr="00301769">
      <w:rPr>
        <w:rFonts w:ascii="Times New Roman" w:hAnsi="Times New Roman" w:cs="Times New Roman"/>
      </w:rPr>
      <w:tab/>
    </w:r>
    <w:r w:rsidRPr="00301769">
      <w:rPr>
        <w:rFonts w:ascii="Times New Roman" w:hAnsi="Times New Roman" w:cs="Times New Roman"/>
      </w:rPr>
      <w:tab/>
    </w:r>
    <w:sdt>
      <w:sdtPr>
        <w:rPr>
          <w:rFonts w:ascii="Times New Roman" w:hAnsi="Times New Roman" w:cs="Times New Roman"/>
        </w:rPr>
        <w:id w:val="523893207"/>
        <w:docPartObj>
          <w:docPartGallery w:val="Page Numbers (Top of Page)"/>
          <w:docPartUnique/>
        </w:docPartObj>
      </w:sdtPr>
      <w:sdtContent>
        <w:r w:rsidRPr="00301769">
          <w:rPr>
            <w:rFonts w:ascii="Times New Roman" w:hAnsi="Times New Roman" w:cs="Times New Roman"/>
          </w:rPr>
          <w:fldChar w:fldCharType="begin"/>
        </w:r>
        <w:r w:rsidRPr="00301769">
          <w:rPr>
            <w:rFonts w:ascii="Times New Roman" w:hAnsi="Times New Roman" w:cs="Times New Roman"/>
          </w:rPr>
          <w:instrText xml:space="preserve"> PAGE   \* MERGEFORMAT </w:instrText>
        </w:r>
        <w:r w:rsidRPr="00301769">
          <w:rPr>
            <w:rFonts w:ascii="Times New Roman" w:hAnsi="Times New Roman" w:cs="Times New Roman"/>
          </w:rPr>
          <w:fldChar w:fldCharType="separate"/>
        </w:r>
        <w:r>
          <w:rPr>
            <w:rFonts w:ascii="Times New Roman" w:hAnsi="Times New Roman" w:cs="Times New Roman"/>
            <w:noProof/>
          </w:rPr>
          <w:t>2</w:t>
        </w:r>
        <w:r w:rsidRPr="00301769">
          <w:rPr>
            <w:rFonts w:ascii="Times New Roman" w:hAnsi="Times New Roman" w:cs="Times New Roman"/>
          </w:rPr>
          <w:fldChar w:fldCharType="end"/>
        </w:r>
      </w:sdtContent>
    </w:sdt>
  </w:p>
  <w:p w:rsidR="00055B53" w:rsidRPr="00301769" w:rsidRDefault="00055B53" w:rsidP="00F804A7">
    <w:pPr>
      <w:pStyle w:val="Header"/>
      <w:ind w:right="360"/>
      <w:rPr>
        <w:rFonts w:ascii="Times New Roman" w:hAnsi="Times New Roman" w:cs="Times New Roman"/>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69" w:rsidRPr="00301769" w:rsidRDefault="00301769">
    <w:pPr>
      <w:pStyle w:val="Header"/>
      <w:jc w:val="right"/>
      <w:rPr>
        <w:rFonts w:ascii="Times New Roman" w:hAnsi="Times New Roman" w:cs="Times New Roman"/>
      </w:rPr>
    </w:pPr>
    <w:r w:rsidRPr="00301769">
      <w:rPr>
        <w:rFonts w:ascii="Times New Roman" w:hAnsi="Times New Roman" w:cs="Times New Roman"/>
      </w:rPr>
      <w:t xml:space="preserve">Running Head: HEALTH INSPECTION PROCESS </w:t>
    </w:r>
    <w:r w:rsidRPr="00301769">
      <w:rPr>
        <w:rFonts w:ascii="Times New Roman" w:hAnsi="Times New Roman" w:cs="Times New Roman"/>
      </w:rPr>
      <w:tab/>
    </w:r>
    <w:sdt>
      <w:sdtPr>
        <w:rPr>
          <w:rFonts w:ascii="Times New Roman" w:hAnsi="Times New Roman" w:cs="Times New Roman"/>
        </w:rPr>
        <w:id w:val="523893184"/>
        <w:docPartObj>
          <w:docPartGallery w:val="Page Numbers (Top of Page)"/>
          <w:docPartUnique/>
        </w:docPartObj>
      </w:sdtPr>
      <w:sdtContent>
        <w:r w:rsidRPr="00301769">
          <w:rPr>
            <w:rFonts w:ascii="Times New Roman" w:hAnsi="Times New Roman" w:cs="Times New Roman"/>
          </w:rPr>
          <w:fldChar w:fldCharType="begin"/>
        </w:r>
        <w:r w:rsidRPr="00301769">
          <w:rPr>
            <w:rFonts w:ascii="Times New Roman" w:hAnsi="Times New Roman" w:cs="Times New Roman"/>
          </w:rPr>
          <w:instrText xml:space="preserve"> PAGE   \* MERGEFORMAT </w:instrText>
        </w:r>
        <w:r w:rsidRPr="00301769">
          <w:rPr>
            <w:rFonts w:ascii="Times New Roman" w:hAnsi="Times New Roman" w:cs="Times New Roman"/>
          </w:rPr>
          <w:fldChar w:fldCharType="separate"/>
        </w:r>
        <w:r>
          <w:rPr>
            <w:rFonts w:ascii="Times New Roman" w:hAnsi="Times New Roman" w:cs="Times New Roman"/>
            <w:noProof/>
          </w:rPr>
          <w:t>1</w:t>
        </w:r>
        <w:r w:rsidRPr="00301769">
          <w:rPr>
            <w:rFonts w:ascii="Times New Roman" w:hAnsi="Times New Roman" w:cs="Times New Roman"/>
          </w:rPr>
          <w:fldChar w:fldCharType="end"/>
        </w:r>
      </w:sdtContent>
    </w:sdt>
  </w:p>
  <w:p w:rsidR="00055B53" w:rsidRPr="00301769" w:rsidRDefault="00055B53" w:rsidP="00055B53">
    <w:pPr>
      <w:pStyle w:val="Header"/>
      <w:ind w:right="360"/>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c1NLEwMbcwMLE0MDFR0lEKTi0uzszPAykwrAUA2WbjOiwAAAA="/>
  </w:docVars>
  <w:rsids>
    <w:rsidRoot w:val="00055B53"/>
    <w:rsid w:val="00010FA4"/>
    <w:rsid w:val="000521A8"/>
    <w:rsid w:val="00055B53"/>
    <w:rsid w:val="0009243D"/>
    <w:rsid w:val="000C706C"/>
    <w:rsid w:val="002532BB"/>
    <w:rsid w:val="00301769"/>
    <w:rsid w:val="00303E37"/>
    <w:rsid w:val="00311D17"/>
    <w:rsid w:val="00332A09"/>
    <w:rsid w:val="003E052B"/>
    <w:rsid w:val="004160F6"/>
    <w:rsid w:val="004665CB"/>
    <w:rsid w:val="004F2CD5"/>
    <w:rsid w:val="0052750F"/>
    <w:rsid w:val="0056574C"/>
    <w:rsid w:val="005F66C9"/>
    <w:rsid w:val="006E1DA5"/>
    <w:rsid w:val="007469E3"/>
    <w:rsid w:val="00763C30"/>
    <w:rsid w:val="00793684"/>
    <w:rsid w:val="007B6A1E"/>
    <w:rsid w:val="008008C5"/>
    <w:rsid w:val="00820B20"/>
    <w:rsid w:val="00825E46"/>
    <w:rsid w:val="008842B9"/>
    <w:rsid w:val="00890FED"/>
    <w:rsid w:val="008A699E"/>
    <w:rsid w:val="00910DEA"/>
    <w:rsid w:val="00920D63"/>
    <w:rsid w:val="00996239"/>
    <w:rsid w:val="009F00C7"/>
    <w:rsid w:val="00A2178E"/>
    <w:rsid w:val="00A71CCA"/>
    <w:rsid w:val="00A97310"/>
    <w:rsid w:val="00AE2CC8"/>
    <w:rsid w:val="00AF6162"/>
    <w:rsid w:val="00B92567"/>
    <w:rsid w:val="00C62CB2"/>
    <w:rsid w:val="00CB66B0"/>
    <w:rsid w:val="00D033BC"/>
    <w:rsid w:val="00D34D7F"/>
    <w:rsid w:val="00DA097B"/>
    <w:rsid w:val="00EB1542"/>
    <w:rsid w:val="00EC21A7"/>
    <w:rsid w:val="00ED0B63"/>
    <w:rsid w:val="00F03FC4"/>
    <w:rsid w:val="00F10335"/>
    <w:rsid w:val="00F24705"/>
    <w:rsid w:val="00F40B10"/>
    <w:rsid w:val="00F67F8A"/>
    <w:rsid w:val="00F804A7"/>
    <w:rsid w:val="00FA3870"/>
    <w:rsid w:val="00FC23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162"/>
    <w:rPr>
      <w:rFonts w:ascii="Times New Roman" w:eastAsia="Times New Roman" w:hAnsi="Times New Roman" w:cs="Times New Roman"/>
    </w:rPr>
  </w:style>
  <w:style w:type="paragraph" w:styleId="Heading1">
    <w:name w:val="heading 1"/>
    <w:basedOn w:val="Normal"/>
    <w:next w:val="Normal"/>
    <w:link w:val="Heading1Char"/>
    <w:autoRedefine/>
    <w:uiPriority w:val="9"/>
    <w:qFormat/>
    <w:rsid w:val="004F2CD5"/>
    <w:pPr>
      <w:keepNext/>
      <w:keepLines/>
      <w:spacing w:before="480"/>
      <w:jc w:val="center"/>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5B53"/>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55B53"/>
  </w:style>
  <w:style w:type="paragraph" w:styleId="Footer">
    <w:name w:val="footer"/>
    <w:basedOn w:val="Normal"/>
    <w:link w:val="FooterChar"/>
    <w:uiPriority w:val="99"/>
    <w:unhideWhenUsed/>
    <w:rsid w:val="00055B53"/>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55B53"/>
  </w:style>
  <w:style w:type="character" w:styleId="PageNumber">
    <w:name w:val="page number"/>
    <w:basedOn w:val="DefaultParagraphFont"/>
    <w:uiPriority w:val="99"/>
    <w:semiHidden/>
    <w:unhideWhenUsed/>
    <w:rsid w:val="00055B53"/>
  </w:style>
  <w:style w:type="character" w:customStyle="1" w:styleId="apple-converted-space">
    <w:name w:val="apple-converted-space"/>
    <w:basedOn w:val="DefaultParagraphFont"/>
    <w:rsid w:val="00AF6162"/>
  </w:style>
  <w:style w:type="character" w:customStyle="1" w:styleId="Heading1Char">
    <w:name w:val="Heading 1 Char"/>
    <w:basedOn w:val="DefaultParagraphFont"/>
    <w:link w:val="Heading1"/>
    <w:uiPriority w:val="9"/>
    <w:rsid w:val="004F2CD5"/>
    <w:rPr>
      <w:rFonts w:ascii="Times New Roman" w:eastAsiaTheme="majorEastAsia" w:hAnsi="Times New Roman" w:cstheme="majorBidi"/>
      <w:b/>
      <w:bCs/>
      <w:szCs w:val="28"/>
    </w:rPr>
  </w:style>
</w:styles>
</file>

<file path=word/webSettings.xml><?xml version="1.0" encoding="utf-8"?>
<w:webSettings xmlns:r="http://schemas.openxmlformats.org/officeDocument/2006/relationships" xmlns:w="http://schemas.openxmlformats.org/wordprocessingml/2006/main">
  <w:divs>
    <w:div w:id="108418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4</cp:revision>
  <dcterms:created xsi:type="dcterms:W3CDTF">2020-03-01T09:03:00Z</dcterms:created>
  <dcterms:modified xsi:type="dcterms:W3CDTF">2020-03-01T09:16:00Z</dcterms:modified>
</cp:coreProperties>
</file>